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136" w:firstLine="0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How Do You Evaluate Your Academy and Prove Value?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Academies Collaborative Webinar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9" w:lineRule="auto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Moderator: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Rebecca Blanchard, PhD </w:t>
      </w:r>
    </w:p>
    <w:p w:rsidR="00000000" w:rsidDel="00000000" w:rsidP="00000000" w:rsidRDefault="00000000" w:rsidRPr="00000000" w14:paraId="00000005">
      <w:pPr>
        <w:tabs>
          <w:tab w:val="center" w:leader="none" w:pos="2339"/>
          <w:tab w:val="center" w:leader="none" w:pos="7742"/>
        </w:tabs>
        <w:spacing w:after="7" w:line="269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Director of Scholarship and Professional Development, Zamierowski Institute for Experiential Learning, a partnership between the University of Kansas Health System and the University of Kansas Medical Center </w:t>
      </w:r>
    </w:p>
    <w:p w:rsidR="00000000" w:rsidDel="00000000" w:rsidP="00000000" w:rsidRDefault="00000000" w:rsidRPr="00000000" w14:paraId="00000006">
      <w:pPr>
        <w:spacing w:after="18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8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Panelists: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Lato" w:cs="Lato" w:eastAsia="Lato" w:hAnsi="Lato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0"/>
          <w:szCs w:val="20"/>
          <w:highlight w:val="white"/>
          <w:rtl w:val="0"/>
        </w:rPr>
        <w:t xml:space="preserve">Lotte Dyrbye, MD, MHPE 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Lato" w:cs="Lato" w:eastAsia="Lato" w:hAnsi="Lato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333333"/>
          <w:sz w:val="20"/>
          <w:szCs w:val="20"/>
          <w:highlight w:val="white"/>
          <w:rtl w:val="0"/>
        </w:rPr>
        <w:t xml:space="preserve">Senior Associate Dean of Faculty and Chief Well-being Officer, University of Colorado School of Medicine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Lato" w:cs="Lato" w:eastAsia="Lato" w:hAnsi="Lato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Lato" w:cs="Lato" w:eastAsia="Lato" w:hAnsi="Lato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0"/>
          <w:szCs w:val="20"/>
          <w:highlight w:val="white"/>
          <w:rtl w:val="0"/>
        </w:rPr>
        <w:t xml:space="preserve">Deborah Engle, EdD, MS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Lato" w:cs="Lato" w:eastAsia="Lato" w:hAnsi="Lato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highlight w:val="white"/>
          <w:rtl w:val="0"/>
        </w:rPr>
        <w:t xml:space="preserve">Assistant Dean for Assessment and Evaluation, Duke University School of Medicine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Lato" w:cs="Lato" w:eastAsia="Lato" w:hAnsi="Lato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Lato" w:cs="Lato" w:eastAsia="Lato" w:hAnsi="Lato"/>
          <w:b w:val="1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0"/>
          <w:szCs w:val="20"/>
          <w:highlight w:val="white"/>
          <w:rtl w:val="0"/>
        </w:rPr>
        <w:t xml:space="preserve">Lauren Germain, PhD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Lato" w:cs="Lato" w:eastAsia="Lato" w:hAnsi="Lato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highlight w:val="white"/>
          <w:rtl w:val="0"/>
        </w:rPr>
        <w:t xml:space="preserve">Director of Evaluation, Assessment, and Research, SUNY Upstate 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Medical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Lato" w:cs="Lato" w:eastAsia="Lato" w:hAnsi="Lato"/>
          <w:b w:val="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b w:val="1"/>
          <w:sz w:val="20"/>
          <w:szCs w:val="20"/>
          <w:rtl w:val="0"/>
        </w:rPr>
        <w:t xml:space="preserve">Neeral Shah, MD 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Associate Prof of Medicine, Gastroenterology and Hepatology, University of Virginia School of Medicine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Lato" w:cs="Lato" w:eastAsia="Lato" w:hAnsi="Lato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Lato" w:cs="Lato" w:eastAsia="Lato" w:hAnsi="Lato"/>
          <w:color w:val="000000"/>
          <w:sz w:val="20"/>
          <w:szCs w:val="20"/>
          <w:highlight w:val="white"/>
          <w:rtl w:val="0"/>
        </w:rPr>
        <w:t xml:space="preserve">Chair, Academy for Excellence in Education Steering Committee</w:t>
      </w:r>
    </w:p>
    <w:p w:rsidR="00000000" w:rsidDel="00000000" w:rsidP="00000000" w:rsidRDefault="00000000" w:rsidRPr="00000000" w14:paraId="00000014">
      <w:pPr>
        <w:spacing w:after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-5" w:firstLine="0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rtl w:val="0"/>
        </w:rPr>
        <w:t xml:space="preserve">Selected References </w:t>
      </w:r>
    </w:p>
    <w:p w:rsidR="00000000" w:rsidDel="00000000" w:rsidP="00000000" w:rsidRDefault="00000000" w:rsidRPr="00000000" w14:paraId="00000016">
      <w:pPr>
        <w:spacing w:after="120" w:lineRule="auto"/>
        <w:ind w:left="0" w:firstLine="0"/>
        <w:rPr>
          <w:rFonts w:ascii="Lato" w:cs="Lato" w:eastAsia="Lato" w:hAnsi="Lato"/>
          <w:color w:val="21212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color w:val="212121"/>
          <w:sz w:val="20"/>
          <w:szCs w:val="20"/>
          <w:rtl w:val="0"/>
        </w:rPr>
        <w:t xml:space="preserve">Armstrong, Elizabeth G. PhD; Barsion, Sylvia J. PhD. Using an Outcomes-Logic-Model Approach to Evaluate a Faculty Development Program for Medical Educators. Academic Medicine 81(5):p 483-488, May 2006. | DOI: 10.1097/01.ACM.0000222259.62890.71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9" w:line="269" w:lineRule="auto"/>
        <w:ind w:left="355" w:hanging="37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212121"/>
          <w:sz w:val="20"/>
          <w:szCs w:val="20"/>
          <w:rtl w:val="0"/>
        </w:rPr>
        <w:t xml:space="preserve">Blanchard RD, Belforti RK. Evaluation of a Health Professions Teaching Academy Through the Lens of Social Capital. J Contin Educ Health Prof. 2022 Jan 1;42(1):53-59.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9" w:line="269" w:lineRule="auto"/>
        <w:ind w:left="-15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212121"/>
          <w:sz w:val="20"/>
          <w:szCs w:val="20"/>
          <w:rtl w:val="0"/>
        </w:rPr>
        <w:t xml:space="preserve">Browne J. Academies of Medical Educators and Their Impact. Acad Med. 2017 Oct;92(10):1366.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7" w:line="269" w:lineRule="auto"/>
        <w:ind w:left="355" w:hanging="37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Corral J, Guiton G, Aargaard E. The impact of an academy of medical educators on the culture of an American health sciences campus. Acad Med. 2017;92:1145–1150. </w:t>
      </w:r>
    </w:p>
    <w:p w:rsidR="00000000" w:rsidDel="00000000" w:rsidP="00000000" w:rsidRDefault="00000000" w:rsidRPr="00000000" w14:paraId="0000001A">
      <w:pPr>
        <w:spacing w:after="7" w:line="269" w:lineRule="auto"/>
        <w:ind w:left="355" w:hanging="37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Dow AW, Sewell DK, Lockeman KS, et al. Evaluating a center for interprofessional education via social network analysis. Acad Med. 2020;95:207–212. </w:t>
      </w:r>
    </w:p>
    <w:p w:rsidR="00000000" w:rsidDel="00000000" w:rsidP="00000000" w:rsidRDefault="00000000" w:rsidRPr="00000000" w14:paraId="0000001B">
      <w:pPr>
        <w:spacing w:after="7" w:line="269" w:lineRule="auto"/>
        <w:ind w:left="355" w:hanging="37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Irby DM, Cooke M, Lowenstein D, et al. The academy movement: a structural approach to reinvigorating the educational mission. Acad Med. 2004;79:729–736. </w:t>
      </w:r>
    </w:p>
    <w:p w:rsidR="00000000" w:rsidDel="00000000" w:rsidP="00000000" w:rsidRDefault="00000000" w:rsidRPr="00000000" w14:paraId="0000001C">
      <w:pPr>
        <w:spacing w:after="7" w:line="269" w:lineRule="auto"/>
        <w:ind w:left="355" w:hanging="37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Lee LS, O'Connor Grochowski C, Valiga TM, et al. Building social capital to foster interprofessional education: the interprofessional educator academy. Acad Med. 2019;94:1685–1690. </w:t>
      </w:r>
    </w:p>
    <w:p w:rsidR="00000000" w:rsidDel="00000000" w:rsidP="00000000" w:rsidRDefault="00000000" w:rsidRPr="00000000" w14:paraId="0000001D">
      <w:pPr>
        <w:spacing w:after="9" w:line="269" w:lineRule="auto"/>
        <w:ind w:left="355" w:hanging="37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212121"/>
          <w:sz w:val="20"/>
          <w:szCs w:val="20"/>
          <w:rtl w:val="0"/>
        </w:rPr>
        <w:t xml:space="preserve">Papp KK, Altose MD, Wilson-Delfosse AL, Thomas PA. Scholarship in Teaching: An Approach to Enhancing the Value and Academic Standing of Teaching. Med Sci Educ. 2020 Sep 18;30(4):1585-1590.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69" w:lineRule="auto"/>
        <w:rPr>
          <w:rFonts w:ascii="Lato" w:cs="Lato" w:eastAsia="Lato" w:hAnsi="Lato"/>
          <w:color w:val="21212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212121"/>
          <w:sz w:val="20"/>
          <w:szCs w:val="20"/>
          <w:rtl w:val="0"/>
        </w:rPr>
        <w:t xml:space="preserve">Uijtdehaage S, Ho MJ, Harvey E, Dorris CS, Huggett KN. Academies in Health Professions Education: A Scoping </w:t>
      </w:r>
    </w:p>
    <w:p w:rsidR="00000000" w:rsidDel="00000000" w:rsidP="00000000" w:rsidRDefault="00000000" w:rsidRPr="00000000" w14:paraId="0000001F">
      <w:pPr>
        <w:spacing w:after="0" w:line="269" w:lineRule="auto"/>
        <w:ind w:left="720" w:firstLine="0"/>
        <w:rPr>
          <w:rFonts w:ascii="Lato" w:cs="Lato" w:eastAsia="Lato" w:hAnsi="Lato"/>
          <w:color w:val="212121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212121"/>
          <w:sz w:val="20"/>
          <w:szCs w:val="20"/>
          <w:rtl w:val="0"/>
        </w:rPr>
        <w:t xml:space="preserve">Review. Acad Med. 2021 Oct 1;96(10):1476-1483. doi: 10.1097/ACM.0000000000004161. PMID: 33983143.</w:t>
      </w:r>
    </w:p>
    <w:p w:rsidR="00000000" w:rsidDel="00000000" w:rsidP="00000000" w:rsidRDefault="00000000" w:rsidRPr="00000000" w14:paraId="00000020">
      <w:pPr>
        <w:spacing w:after="9" w:line="269" w:lineRule="auto"/>
        <w:ind w:left="355" w:hanging="37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212121"/>
          <w:sz w:val="20"/>
          <w:szCs w:val="20"/>
          <w:rtl w:val="0"/>
        </w:rPr>
        <w:t xml:space="preserve">Vassar M, Wheeler DL, Davison M, Franklin J. Program Evaluation in Medical Education: An Overview of the Utilization-focused Approach. J Educ Eval Health Prof. 2010 Jun 15;7:1.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80" w:lineRule="auto"/>
        <w:ind w:left="36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color w:val="212121"/>
          <w:sz w:val="20"/>
          <w:szCs w:val="20"/>
          <w:rtl w:val="0"/>
        </w:rPr>
        <w:t xml:space="preserve">Whicker S, Rudd M, Nagler A. Your Mission Should you Choose to Accept it… A Comparison of Teaching Academy Mission Statements. </w:t>
      </w:r>
      <w:hyperlink r:id="rId7">
        <w:r w:rsidDel="00000000" w:rsidR="00000000" w:rsidRPr="00000000">
          <w:rPr>
            <w:rFonts w:ascii="Lato" w:cs="Lato" w:eastAsia="Lato" w:hAnsi="Lato"/>
            <w:sz w:val="20"/>
            <w:szCs w:val="20"/>
            <w:u w:val="single"/>
            <w:rtl w:val="0"/>
          </w:rPr>
          <w:t xml:space="preserve">https://www.teach.vtc.vt.edu/wp-content/uploads/2020/09/Your-Mission-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3" w:lineRule="auto"/>
        <w:ind w:left="360" w:firstLine="0"/>
        <w:rPr>
          <w:rFonts w:ascii="Lato" w:cs="Lato" w:eastAsia="Lato" w:hAnsi="Lato"/>
          <w:sz w:val="20"/>
          <w:szCs w:val="20"/>
        </w:rPr>
      </w:pPr>
      <w:hyperlink r:id="rId8">
        <w:r w:rsidDel="00000000" w:rsidR="00000000" w:rsidRPr="00000000">
          <w:rPr>
            <w:rFonts w:ascii="Lato" w:cs="Lato" w:eastAsia="Lato" w:hAnsi="Lato"/>
            <w:sz w:val="20"/>
            <w:szCs w:val="20"/>
            <w:u w:val="single"/>
            <w:rtl w:val="0"/>
          </w:rPr>
          <w:t xml:space="preserve">Should-You-Choose-to-Share-it%E2%80%A6-A-Comparison-of-Teaching-Academy-Mission-Statement.pdf</w:t>
        </w:r>
      </w:hyperlink>
      <w:hyperlink r:id="rId9">
        <w:r w:rsidDel="00000000" w:rsidR="00000000" w:rsidRPr="00000000">
          <w:rPr>
            <w:rFonts w:ascii="Lato" w:cs="Lato" w:eastAsia="Lato" w:hAnsi="Lato"/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3" w:lineRule="auto"/>
        <w:ind w:left="0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WK Kellogg Foundation.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highlight w:val="white"/>
          <w:rtl w:val="0"/>
        </w:rPr>
        <w:t xml:space="preserve">Logic Model Development Guide. </w:t>
      </w:r>
      <w:r w:rsidDel="00000000" w:rsidR="00000000" w:rsidRPr="00000000">
        <w:rPr>
          <w:rFonts w:ascii="Lato" w:cs="Lato" w:eastAsia="Lato" w:hAnsi="Lato"/>
          <w:sz w:val="20"/>
          <w:szCs w:val="20"/>
          <w:highlight w:val="white"/>
          <w:rtl w:val="0"/>
        </w:rPr>
        <w:t xml:space="preserve"> Battle Creek, MI: WK Kellogg Foundation.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ind w:left="360" w:firstLine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ind w:left="540" w:firstLine="0"/>
        <w:rPr>
          <w:rFonts w:ascii="Lato" w:cs="Lato" w:eastAsia="Lato" w:hAnsi="Lato"/>
          <w:color w:val="212121"/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3" w:lineRule="auto"/>
        <w:ind w:left="360" w:firstLine="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right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87" w:top="1440" w:left="1081" w:right="11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Montserrat" w:cs="Montserrat" w:eastAsia="Montserrat" w:hAnsi="Montserra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="Calibri" w:cs="Calibri" w:eastAsia="Calibri" w:hAnsi="Calibri"/>
      <w:color w:val="000000"/>
      <w:sz w:val="22"/>
      <w:lang w:bidi="en-US"/>
    </w:rPr>
  </w:style>
  <w:style w:type="paragraph" w:styleId="Heading1">
    <w:name w:val="heading 1"/>
    <w:next w:val="Normal"/>
    <w:link w:val="Heading1Char"/>
    <w:uiPriority w:val="9"/>
    <w:qFormat w:val="1"/>
    <w:pPr>
      <w:keepNext w:val="1"/>
      <w:keepLines w:val="1"/>
      <w:spacing w:line="259" w:lineRule="auto"/>
      <w:ind w:left="10" w:hanging="10"/>
      <w:outlineLvl w:val="0"/>
    </w:pPr>
    <w:rPr>
      <w:rFonts w:ascii="Montserrat" w:cs="Montserrat" w:eastAsia="Montserrat" w:hAnsi="Montserrat"/>
      <w:b w:val="1"/>
      <w:color w:val="000000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Montserrat" w:cs="Montserrat" w:eastAsia="Montserrat" w:hAnsi="Montserrat"/>
      <w:b w:val="1"/>
      <w:color w:val="000000"/>
      <w:sz w:val="20"/>
    </w:rPr>
  </w:style>
  <w:style w:type="table" w:styleId="TableGrid" w:customStyle="1">
    <w:name w:val="TableGri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uiPriority w:val="34"/>
    <w:qFormat w:val="1"/>
    <w:rsid w:val="006D5F3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ach.vtc.vt.edu/wp-content/uploads/2020/09/Your-Mission-Should-You-Choose-to-Share-it%E2%80%A6-A-Comparison-of-Teaching-Academy-Mission-Statement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each.vtc.vt.edu/wp-content/uploads/2020/09/Your-Mission-Should-You-Choose-to-Share-it%E2%80%A6-A-Comparison-of-Teaching-Academy-Mission-Statement.pdf" TargetMode="External"/><Relationship Id="rId8" Type="http://schemas.openxmlformats.org/officeDocument/2006/relationships/hyperlink" Target="https://www.teach.vtc.vt.edu/wp-content/uploads/2020/09/Your-Mission-Should-You-Choose-to-Share-it%E2%80%A6-A-Comparison-of-Teaching-Academy-Mission-Statement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J1Pf62CO3acEiY3eDl+ekpqOPQ==">AMUW2mXA8ngiFKuEmUFrwXZ/zl0yrjw9enZ3781q2e6GOyhP7VsSDYJiP4kNciRSDc2m9+Uu3Gpvae9LUxVy8l7/HQPNFfs9rt8gShCNmrX8hW9OfS+S8RE=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2023-04-18T17:10:00Z</dcterms:created>
  <dc:creator>Rebecca Blanchard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0x010100D34639AE09E6F74197F0B4920F2A9592</vt:lpwstr>
  </property>
</Properties>
</file>